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0" w:lineRule="atLeast"/>
        <w:jc w:val="center"/>
        <w:rPr>
          <w:rFonts w:hint="eastAsia" w:ascii="方正黑体简体" w:eastAsia="方正黑体简体"/>
          <w:b/>
          <w:sz w:val="40"/>
          <w:szCs w:val="40"/>
        </w:rPr>
      </w:pPr>
      <w:r>
        <w:rPr>
          <w:rFonts w:hint="eastAsia" w:ascii="方正黑体简体" w:eastAsia="方正黑体简体"/>
          <w:b/>
          <w:sz w:val="40"/>
          <w:szCs w:val="40"/>
        </w:rPr>
        <w:t>广东药学院教材建设管理条例（修订）</w:t>
      </w:r>
    </w:p>
    <w:p>
      <w:pPr>
        <w:spacing w:before="156" w:beforeLines="50" w:after="156" w:afterLines="50" w:line="340" w:lineRule="atLeast"/>
        <w:jc w:val="center"/>
        <w:rPr>
          <w:rFonts w:hint="eastAsia" w:ascii="宋体" w:hAnsi="宋体"/>
          <w:szCs w:val="21"/>
        </w:rPr>
      </w:pPr>
      <w:r>
        <w:rPr>
          <w:rFonts w:hint="eastAsia" w:ascii="宋体" w:hAnsi="宋体"/>
          <w:sz w:val="24"/>
        </w:rPr>
        <w:t>广药〔2009〕77号</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教材是教学的基本工具，是体现教学内容和教学方法的知识载体。加强教材建设与管理，是不断提高教学质量的基础和保障。为适应高等教育发展的需要，根据《教育部财政部关于实施高等学院本科教学质量与教学改革工程的意见》（教高〔2007〕1号）和《教育部关于进一步深化本科教学改革全面提高教学质量的若干意见》（教高〔2007〕2号）文件精神，结合学院实际，特制定本条例。</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一、总则</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1.本条例所提及的教材，是指列入学院专业人才培养方案中的课程教材，包括规划教材（国家级和省、部级规划教材）、协编教材（高校联合编写或出版社规划编写的教材）、学院特色教材、讲义。</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2.教材编写需由学院教务处批准后方可进行，对获准编写的教材，学院给予经费资助，并在一定时间内优先或推荐使用。</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3.教师在教材编写过程中应遵守《著作权法》，尊重他人知识产权，若与其他单位或个人发生版权纠纷，由教师个人承担法律责任。</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4.教务处负责对学院的教材建设进行管理。</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二、教材编写</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（一）规划教材与协编教材</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1.学院鼓励教师积极参加国家、省、部级规划教材的编写，组织并推荐教师参加主编、副主编、编者的遴选。</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2.学院支持教师参加协编教材的编写。</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3.已担任某一课程教材主编的教师，三年内不得申报同一层次相同或相似教材的主编或副主编、参编；已担任某一课程教材副主编的教师，三年内不得申报同一层次相同或相似教材的副主编和参编；已担任某一课程教材参编的教师，三年内不得申报同一层次相同或相似教材的参编。</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（二）特色教材</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1.学院支持教师编写体现学院办学理念、反映学院教学成果、突出学院办学特色、符合学院教学实际的特色教材。</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2.学院新开设专业和特色专业，如国内正式出版的教材未能涵盖课程教学内容，学院在征求有关部门和专家意见后，拟定相应的教材建设立项指南，进行公开遴选，经学院教学委员会评审，确定主编人选并组织编写。</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3.学院教师根据专业定位和人才培养方案，结合教学实际，在教改成果的基础上申报。</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（三）讲义</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1.教学需要编写讲义（含实验讲义）作为补充教材的，由编写教师提出填写，报学院教务处审核批准。</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2.讲义必须有三分之二以上的内容符合相应课程教学大纲要求，体现课程及所属学科发展的新成果，有利于学生创新精神和实践能力的培养。</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3.严格按照专业人才培养方案学时数控制讲义字数，理论课讲义按理论课学时数计，实验讲义按实验学时数计，每学时3500字以内。</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三、教材编写申报程序</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1.参加国家、省、部级规划教材、协编教材编写的教师，凭教材编写邀请函或聘书，经所在教研室、二级学院、部（馆）签署意见后，报教务处审批。</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2.申请编写特色教材的教师，须先向教务处提交《广东药学院教材建设立项申请书》（教材科网页下载），经所在教研室、二级学院、系部（馆）签署意见后，由学院教学委员会评审立项，下达教材建设任务。</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3.申请编写讲义的教师需填写《广东药学院自编讲义申请表》（教材科网页下载），经所在教研室、二级学院、系部（馆）签署意见后，交教务处审核批准。</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4.由学院推荐参加教材编写人员遴选的教师，承担教材编写任务后，需报教务处备案。</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5．教师个人不得代表学院与出版社等签署教材编写、出版合同。</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四、资助对象与资助标准</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（一）资助对象</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1.对经批准参加教材编写的教师，学院给予教材建设专项经费资助。每本教材资助总名额为2人。</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2.教材建设专用款分两次划拨，接受编写任务后，先划拨三分之二，教材出版后，由编者交2本样书给教务处，再划拨教材建设专项经费的三分之一。</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（二）资助标准</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１.国家、省、部级规划教材：主编：10000元，副主编： 5000元，唯一代表我院的编委：4000元，由我院教师担任主编或主审教材的编委：2000元。</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2．协编教材：主编：5000元；副主编：3000元；唯一代表我院的编委：1500元。</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3．学院特色教材（以每部教材计）：理论课教材：5000元，实践教学教材：4000元，学习指导和习题集等：1500元。</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4.讲义：由教材供应商按照讲义字数和使用数量支付。</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五、教材使用</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1.规划教材：由我院教师担任主编的国家、省、部级规划教材，三年内学院优先使用，由我院教师担任副主编或参编的国家级规划教材，两年内优先使用。</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2.协编教材：由我院教师担任主编的协编教材，三年内学院推荐使用，由我院教师担任副主编或参编的协编教材，两年内推荐使用。</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3.特色教材：经学院教学委员会评审、立项的公开出版特色教材，二年内学院推荐使用。</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4.讲义：讲义每三年应修订一次，五年未修订的自编讲义，学院将停止使用。</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六、优秀教材评选</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1.为提高我院教师编写教材水平，鼓励高质量教材的编写与出版，学院将不定期开展优秀教材评选。</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2.优秀教材评选的领</w:t>
      </w:r>
      <w:bookmarkStart w:id="0" w:name="_GoBack"/>
      <w:bookmarkEnd w:id="0"/>
      <w:r>
        <w:rPr>
          <w:rFonts w:hint="eastAsia" w:ascii="仿宋" w:hAnsi="仿宋" w:eastAsia="仿宋" w:cs="仿宋"/>
          <w:sz w:val="28"/>
          <w:szCs w:val="28"/>
        </w:rPr>
        <w:t>导机构是广东药学院教学委员会，教务处负责组织实施。</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3. 申报范围：由本院教师但任主编、公开出版并使用两年以上（含两年）的各类教材。</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４.评选程序：申报者提交《广东药学院优秀教材评选申请表》、《申报优秀教材专家评审意见表》及参评教材，评审专家根据学院优秀教材评分标准评分，学院教学委员会投票决定。</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七、附则</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1. 本条例自公布之日起实施。以往条例与本条例有冲突之处，以本条例为准。</w:t>
      </w:r>
    </w:p>
    <w:p>
      <w:pPr>
        <w:spacing w:line="32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2.本条例由教务处负责解释。</w:t>
      </w:r>
    </w:p>
    <w:p>
      <w:pPr>
        <w:spacing w:line="320" w:lineRule="exact"/>
        <w:ind w:firstLine="2520" w:firstLineChars="900"/>
        <w:jc w:val="both"/>
        <w:rPr>
          <w:rFonts w:hint="eastAsia" w:ascii="仿宋" w:hAnsi="仿宋" w:eastAsia="仿宋" w:cs="仿宋"/>
          <w:sz w:val="28"/>
          <w:szCs w:val="28"/>
        </w:rPr>
      </w:pPr>
    </w:p>
    <w:p>
      <w:pPr>
        <w:spacing w:line="320" w:lineRule="exact"/>
        <w:ind w:firstLine="2520" w:firstLineChars="900"/>
        <w:jc w:val="both"/>
        <w:rPr>
          <w:rFonts w:hint="eastAsia" w:ascii="仿宋" w:hAnsi="仿宋" w:eastAsia="仿宋" w:cs="仿宋"/>
          <w:sz w:val="28"/>
          <w:szCs w:val="28"/>
        </w:rPr>
      </w:pPr>
    </w:p>
    <w:p>
      <w:pPr>
        <w:spacing w:line="320" w:lineRule="exact"/>
        <w:ind w:firstLine="6160" w:firstLineChars="2200"/>
        <w:jc w:val="both"/>
        <w:rPr>
          <w:rFonts w:hint="eastAsia" w:ascii="仿宋" w:hAnsi="仿宋" w:eastAsia="仿宋" w:cs="仿宋"/>
          <w:sz w:val="28"/>
          <w:szCs w:val="28"/>
        </w:rPr>
      </w:pPr>
      <w:r>
        <w:rPr>
          <w:rFonts w:hint="eastAsia" w:ascii="仿宋" w:hAnsi="仿宋" w:eastAsia="仿宋" w:cs="仿宋"/>
          <w:sz w:val="28"/>
          <w:szCs w:val="28"/>
        </w:rPr>
        <w:t>广东药学院</w:t>
      </w:r>
    </w:p>
    <w:p>
      <w:pPr>
        <w:spacing w:line="320" w:lineRule="exact"/>
        <w:ind w:firstLine="5600" w:firstLineChars="2000"/>
        <w:jc w:val="both"/>
        <w:rPr>
          <w:rFonts w:hint="eastAsia" w:ascii="仿宋" w:hAnsi="仿宋" w:eastAsia="仿宋" w:cs="仿宋"/>
          <w:b/>
          <w:sz w:val="28"/>
          <w:szCs w:val="28"/>
        </w:rPr>
      </w:pPr>
      <w:r>
        <w:rPr>
          <w:rFonts w:hint="eastAsia" w:ascii="仿宋" w:hAnsi="仿宋" w:eastAsia="仿宋" w:cs="仿宋"/>
          <w:sz w:val="28"/>
          <w:szCs w:val="28"/>
        </w:rPr>
        <w:t>二○○九年六月四日</w:t>
      </w:r>
    </w:p>
    <w:p>
      <w:pPr>
        <w:spacing w:line="400" w:lineRule="atLeast"/>
        <w:jc w:val="center"/>
        <w:rPr>
          <w:rFonts w:hint="eastAsia" w:ascii="方正黑体简体" w:eastAsia="方正黑体简体"/>
          <w:b/>
          <w:sz w:val="40"/>
          <w:szCs w:val="40"/>
        </w:rPr>
      </w:pPr>
    </w:p>
    <w:p>
      <w:pPr>
        <w:spacing w:line="360" w:lineRule="atLeast"/>
        <w:jc w:val="center"/>
        <w:rPr>
          <w:rFonts w:hint="eastAsia" w:ascii="方正黑体简体" w:eastAsia="方正黑体简体"/>
          <w:b/>
          <w:sz w:val="40"/>
          <w:szCs w:val="40"/>
        </w:rPr>
      </w:pPr>
    </w:p>
    <w:p>
      <w:pPr>
        <w:spacing w:line="360" w:lineRule="atLeast"/>
        <w:jc w:val="center"/>
        <w:rPr>
          <w:rFonts w:hint="eastAsia" w:ascii="方正黑体简体" w:eastAsia="方正黑体简体"/>
          <w:b/>
          <w:sz w:val="40"/>
          <w:szCs w:val="40"/>
        </w:rPr>
      </w:pPr>
    </w:p>
    <w:p>
      <w:pPr>
        <w:spacing w:line="360" w:lineRule="atLeast"/>
        <w:jc w:val="center"/>
        <w:rPr>
          <w:rFonts w:hint="eastAsia" w:ascii="方正黑体简体" w:eastAsia="方正黑体简体"/>
          <w:b/>
          <w:sz w:val="40"/>
          <w:szCs w:val="40"/>
        </w:rPr>
      </w:pPr>
    </w:p>
    <w:p>
      <w:pPr>
        <w:spacing w:line="360" w:lineRule="atLeast"/>
        <w:jc w:val="center"/>
        <w:rPr>
          <w:rFonts w:hint="eastAsia" w:ascii="方正黑体简体" w:eastAsia="方正黑体简体"/>
          <w:b/>
          <w:sz w:val="40"/>
          <w:szCs w:val="40"/>
        </w:rPr>
      </w:pPr>
    </w:p>
    <w:p>
      <w:pPr>
        <w:spacing w:line="360" w:lineRule="atLeast"/>
        <w:jc w:val="center"/>
        <w:rPr>
          <w:rFonts w:hint="eastAsia" w:ascii="方正黑体简体" w:eastAsia="方正黑体简体"/>
          <w:b/>
          <w:sz w:val="40"/>
          <w:szCs w:val="40"/>
        </w:rPr>
      </w:pPr>
    </w:p>
    <w:p>
      <w:pPr>
        <w:spacing w:line="360" w:lineRule="atLeast"/>
        <w:jc w:val="center"/>
        <w:rPr>
          <w:rFonts w:hint="eastAsia" w:ascii="方正黑体简体" w:eastAsia="方正黑体简体"/>
          <w:b/>
          <w:sz w:val="40"/>
          <w:szCs w:val="40"/>
        </w:rPr>
      </w:pPr>
    </w:p>
    <w:p>
      <w:pPr>
        <w:spacing w:line="360" w:lineRule="atLeast"/>
        <w:jc w:val="center"/>
        <w:rPr>
          <w:rFonts w:hint="eastAsia" w:ascii="方正黑体简体" w:eastAsia="方正黑体简体"/>
          <w:b/>
          <w:sz w:val="40"/>
          <w:szCs w:val="40"/>
        </w:rPr>
      </w:pPr>
    </w:p>
    <w:p>
      <w:pPr>
        <w:spacing w:line="360" w:lineRule="atLeast"/>
        <w:jc w:val="center"/>
        <w:rPr>
          <w:rFonts w:hint="eastAsia" w:ascii="方正黑体简体" w:eastAsia="方正黑体简体"/>
          <w:b/>
          <w:sz w:val="40"/>
          <w:szCs w:val="40"/>
        </w:rPr>
      </w:pPr>
      <w:r>
        <w:rPr>
          <w:rFonts w:hint="eastAsia" w:ascii="方正黑体简体" w:eastAsia="方正黑体简体"/>
          <w:b/>
          <w:sz w:val="40"/>
          <w:szCs w:val="40"/>
        </w:rPr>
        <w:t>广东药学院教材管理办法</w:t>
      </w:r>
    </w:p>
    <w:p>
      <w:pPr>
        <w:pStyle w:val="2"/>
        <w:spacing w:before="156" w:beforeLines="50" w:after="156" w:afterLines="50" w:line="360" w:lineRule="auto"/>
        <w:ind w:left="0" w:leftChars="0"/>
        <w:jc w:val="center"/>
        <w:rPr>
          <w:rFonts w:hint="eastAsia" w:ascii="宋体" w:hAnsi="宋体"/>
        </w:rPr>
      </w:pPr>
      <w:r>
        <w:rPr>
          <w:rFonts w:hint="eastAsia" w:ascii="宋体" w:hAnsi="宋体"/>
        </w:rPr>
        <w:t>广药〔2009〕144号</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教材是进行教学的基本工具，是体现教学内容和教学方法的知识载体，也是深化教育教学改革，全面推进素质教育，培养新型人才的重要保证。因此，教材的选用与评价至关重要。为适应学院改革、发展的需要，维护正常的教学秩序、提高教学质量、更新教学内容、并根据教育部的有关规定和本院实际，特制定本办法。</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一、教材选用</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（一）选优原则</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根据课程改革的需要,优先选用近3年内出版的优秀教材（获国家、省、部级以上奖励的教材，国家、省、部级规划教材或国家教学指导委员会推荐的教材），以提高优秀教材的选用率，确保反映现代科技发展水平和教学成果的优秀教材进入课堂。各教研室和各二级学院（部）负责人应严把教材选用的质量关，教务处将把教材质量纳入教学质量监督范畴，每学年公布各二级学院（部）优秀教材的选用率。</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（二）组织原则</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课程教材应由开课教研室根据专业培养目标的要求选用，由所在二级学院（部）审核，报教务处审批。需自编讲义的，应提前1个月向教务处提出申请。</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（三）稳定性和严肃性</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采用同一教学大纲的课程，应选用同一版本的教材；一门课程原则上只用一种教材；教材选用后，教研室不得随意更改，确有特殊情况必须更改、停止使用的，由教研室提出申请，说明原因，提出解决方案，经所在二级学院（部）同意后报教务处批准。 </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二、教材征订与发放</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教材的征订与发放，由教务处统一管理，通过学院指定校区书店，为全院教师和学生提供教材、讲义、学习指导书。</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（一）教材征订</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学院办学所需教材（含自编讲义等）征订程序及注意事项如下：</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开课教研室根据学校下达的课程教学选用教材，并填写《广东药学院教材征订申请表》，报所在二级学院（部）审核，经二级学院（部）长签名确认后，由教学秘书汇总，在规定时间内交教材科审核并统一办理征订。 </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2、各二级学院（部）应认真核对教材征订计划，避免迟订、错订、漏订教材。因特殊原因需补订教材的，由二级学院（部）提出书面申请并重新填写《广东药学院教材征订申请表》报教务处批准后，给予补订。因学校教学计划或招生人数变更，需临时补购教材的，由二级学院（部）提出书面申请，交教材科办理补订。若订购的某种教材不适用而全部作废，由报订该教材的二级学院（部）承担经济损失。</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3、对课程选用有争议的教材，由学校教学委员会讨论确定，课程所在教研室重新填写《广东药学院教材征订申请表》，报教务处办理。</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4、新编讲义的征订，须同时提供符合印刷要求的讲义电子版。</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5、教学参考资料或与课程无关的其它教材不予征订。</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（二）教材发放</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1、学生教材的发放与管理</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（1)大学城校区、中山校区和赤岗校区学生教材的发放由学院校区书店承担。校区书店负责制定发放计划，组织统一发放。</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2）每学期开学初，学生以班为单位到校区书店领取教材（具体时间另行通知），教材发放完毕，由班级辅导员或班干部确认领取的教材名称、种类、数量、单价无误后，在教材发放表（1式3份）签名，教务处、校区书店和班级各留1份教材发放表。</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（3）学生领取教材后，如发现有空白、缺页、错页等现象，在10个工作日内凭原书由原签领书人到校区书店更换。</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2、教师用书的发放与管理</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1）教研室课程任课教师和辅教人员，可领取任课教材和实验指导各1册。授课教师用书，由教研室填写《广东药学院教材征订申请表》，经二级学院（部）批准，报教务处审核。教务处审核同意后，各二级学院（部）统一领取并签名，教材款由教务处统一与教材供应商结算。</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（2）同一课程，同一版本的教材， 3年内不得重复领取。</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三、教材评价</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为保证优秀教材进入课堂，进一步提高教学质量，各二级教学单位应定期对选用的教材进行评价。</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1、评价对象：全院开设的必修课、限选课所选用的教材。</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2、评价方式：国家级规划教材、省、部级规划教材可有针对性地抽样评价；协编教材和学院特色教材需每学期进行评价。</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3、校外评审：教务处定期组织校外专家对学院特色教材进行评审，评价或评审不合格的教材将不予使用。</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四、教材供应的管理与监控</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为保证教学用书的正常配置,维护正常的教学秩序， 确保教材课前到位率100%， 教务处及相关部门负责对教材征订、采购、收费、发放、核算、服务等环节进行监控。除教材供应商外，其他单位或个人（包括学院教师和学生）不得以任何方式销售教材。由我院教师编写的自编讲义等，产权归学院所有，任何人不得将资料外泄；严禁盗版、翻版、复印等侵权教材进入课堂。一旦发现，将追究相关人员责任，若由此引起法律纠纷，由当事人承担法律责任。</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五、附则</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1.本办法由教务处负责解释。</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2.本办法自发布之日起实施，凡与本办法有冲突的其他规定，以本办法为准。</w:t>
      </w:r>
    </w:p>
    <w:p>
      <w:pPr>
        <w:spacing w:line="3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w:t>
      </w:r>
    </w:p>
    <w:p>
      <w:pPr>
        <w:spacing w:line="340" w:lineRule="atLeast"/>
        <w:rPr>
          <w:rFonts w:hint="eastAsia" w:ascii="仿宋" w:hAnsi="仿宋" w:eastAsia="仿宋" w:cs="仿宋"/>
          <w:sz w:val="28"/>
          <w:szCs w:val="28"/>
        </w:rPr>
      </w:pPr>
    </w:p>
    <w:p>
      <w:pPr>
        <w:spacing w:line="340" w:lineRule="atLeast"/>
        <w:ind w:left="5027" w:leftChars="2394" w:firstLine="1120" w:firstLineChars="400"/>
        <w:jc w:val="left"/>
        <w:rPr>
          <w:rFonts w:hint="eastAsia" w:ascii="仿宋" w:hAnsi="仿宋" w:eastAsia="仿宋" w:cs="仿宋"/>
          <w:sz w:val="28"/>
          <w:szCs w:val="28"/>
        </w:rPr>
      </w:pPr>
      <w:r>
        <w:rPr>
          <w:rFonts w:hint="eastAsia" w:ascii="仿宋" w:hAnsi="仿宋" w:eastAsia="仿宋" w:cs="仿宋"/>
          <w:sz w:val="28"/>
          <w:szCs w:val="28"/>
        </w:rPr>
        <w:t>广东药学院                                                             二○○九年十月十三日</w:t>
      </w:r>
    </w:p>
    <w:p>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F0988"/>
    <w:rsid w:val="0F0F0988"/>
    <w:rsid w:val="4B3239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Indent"/>
    <w:basedOn w:val="1"/>
    <w:uiPriority w:val="0"/>
    <w:pPr>
      <w:spacing w:after="120"/>
      <w:ind w:left="420" w:leftChars="200"/>
    </w:pPr>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2018-06-05T08:10:00Z</dcterms:created>
  <dc:creator>Administrator</dc:creator>
  <cp:lastModifiedBy>Administrator</cp:lastModifiedBy>
  <dcterms:modified xsi:type="dcterms:W3CDTF">2018-06-05T08:18:33Z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